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ED1128" w14:textId="77777777" w:rsidR="004A3E09" w:rsidRPr="004A3E09" w:rsidRDefault="004A3E09" w:rsidP="00534A37">
      <w:pPr>
        <w:jc w:val="both"/>
      </w:pPr>
      <w:r w:rsidRPr="004A3E09">
        <w:rPr>
          <w:b/>
          <w:bCs/>
        </w:rPr>
        <w:t>Planejamento Fiscal: A Legitimidade da Separação de Funções</w:t>
      </w:r>
    </w:p>
    <w:p w14:paraId="78B7FFE6" w14:textId="5095BF49" w:rsidR="004A3E09" w:rsidRPr="004A3E09" w:rsidRDefault="004A3E09" w:rsidP="00534A37">
      <w:pPr>
        <w:jc w:val="both"/>
      </w:pPr>
      <w:r w:rsidRPr="004A3E09">
        <w:t>A Solução de Consulta (SC) nº 72/2025 da Receita Federal, oferece importantes elucidações sobre as fronteiras do planejamento fiscal em grupos empresariais, notadamente quanto à eleição de regimes de apuração distintos por entidades coligadas.</w:t>
      </w:r>
    </w:p>
    <w:p w14:paraId="45E11417" w14:textId="47246F96" w:rsidR="004A3E09" w:rsidRPr="004A3E09" w:rsidRDefault="00231748" w:rsidP="00534A37">
      <w:pPr>
        <w:jc w:val="both"/>
      </w:pPr>
      <w:r>
        <w:t xml:space="preserve">De </w:t>
      </w:r>
      <w:proofErr w:type="spellStart"/>
      <w:r>
        <w:t>inicio</w:t>
      </w:r>
      <w:proofErr w:type="spellEnd"/>
      <w:r>
        <w:t>, cumpre apontar que a</w:t>
      </w:r>
      <w:r w:rsidR="004A3E09" w:rsidRPr="004A3E09">
        <w:t xml:space="preserve"> compreensão do </w:t>
      </w:r>
      <w:r>
        <w:t xml:space="preserve">Fisco </w:t>
      </w:r>
      <w:r w:rsidR="004A3E09" w:rsidRPr="004A3E09">
        <w:t>é que, mediante a demonstração de autonomia patrimonial, administrativa e operacional, empresas juridicamente autônomas estão aptas a adotar seus próprios modelos de tributação.</w:t>
      </w:r>
    </w:p>
    <w:p w14:paraId="66CC81CE" w14:textId="77777777" w:rsidR="004A3E09" w:rsidRPr="004A3E09" w:rsidRDefault="004A3E09" w:rsidP="00534A37">
      <w:pPr>
        <w:jc w:val="both"/>
      </w:pPr>
      <w:r w:rsidRPr="004A3E09">
        <w:t>No caso em análise, uma companhia anteriormente sob o regime de lucro presumido foi integralmente adquirida por outra que opera sob o lucro real, ambas atuantes no mesmo setor. A Receita reconheceu que, mesmo diante da similaridade de atividades e do controle societário consolidado, a preservação de estruturas operacionais, administrativas e patrimoniais distintas justifica a aplicação de regimes fiscais diferenciados.</w:t>
      </w:r>
    </w:p>
    <w:p w14:paraId="4E9CB8AA" w14:textId="77777777" w:rsidR="004A3E09" w:rsidRPr="004A3E09" w:rsidRDefault="004A3E09" w:rsidP="00534A37">
      <w:pPr>
        <w:jc w:val="both"/>
      </w:pPr>
      <w:r w:rsidRPr="004A3E09">
        <w:t xml:space="preserve">Essa interpretação possui relevância capital para conglomerados empresariais que, embora partilhem sócios, objeto social ou </w:t>
      </w:r>
      <w:proofErr w:type="spellStart"/>
      <w:r w:rsidRPr="004A3E09">
        <w:t>empreendimentos</w:t>
      </w:r>
      <w:proofErr w:type="spellEnd"/>
      <w:r w:rsidRPr="004A3E09">
        <w:t xml:space="preserve"> análogos, operam de maneira efetivamente desvinculada. O documento, de forma implícita, </w:t>
      </w:r>
      <w:proofErr w:type="spellStart"/>
      <w:r w:rsidRPr="004A3E09">
        <w:t>valida</w:t>
      </w:r>
      <w:proofErr w:type="spellEnd"/>
      <w:r w:rsidRPr="004A3E09">
        <w:t xml:space="preserve"> a estratégia de desmembramento de funções dentro de um grupo econômico como legítima, desde que as sociedades possuam objetos sociais diversos e funcionem com independência comprovada. A título de exemplo, é considerado válido o arranjo de um grupo com uma empresa dedicada à prestação de serviços técnicos e outra focada em soluções tecnológicas, desde que cada uma mantenha sua própria escrituração contábil, instalações separadas e gestão autônoma. Tal conformação se distingue claramente de esquemas artificiais concebidos meramente para mitigar a carga tributária, desprovidos de uma separação operacional genuína.</w:t>
      </w:r>
    </w:p>
    <w:p w14:paraId="6D65431F" w14:textId="77777777" w:rsidR="004A3E09" w:rsidRPr="004A3E09" w:rsidRDefault="004A3E09" w:rsidP="00534A37">
      <w:pPr>
        <w:jc w:val="both"/>
      </w:pPr>
      <w:r w:rsidRPr="004A3E09">
        <w:t>Contudo, o parecer também adverte que a autoridade fiscal detém a prerrogativa de desconsiderar a personalidade jurídica e unificar a apuração do IRPJ de empresas do mesmo grupo, caso detecte ausência de independência entre elas. Cenários envolvendo identidade de sócios, sobreposição de objetos sociais e gestão comum podem configurar um agrupamento econômico irregular, ensejando a imposição de sanções e o enquadramento em um regime tributário unificado.</w:t>
      </w:r>
    </w:p>
    <w:p w14:paraId="60CCF5A5" w14:textId="77777777" w:rsidR="004A3E09" w:rsidRPr="004A3E09" w:rsidRDefault="004A3E09" w:rsidP="00534A37">
      <w:pPr>
        <w:jc w:val="both"/>
      </w:pPr>
      <w:r w:rsidRPr="004A3E09">
        <w:t>Essa diretriz também já era aplicada na avaliação para exclusão do regime Simples Nacional. Empresas que compartilham infraestrutura física, corpo funcional, equipamentos ou cuja administração é exercida por indivíduos com laços familiares ou de afinidade podem ser consideradas uma única unidade empresarial. Existem, inclusive, decisões do Conselho Administrativo de Recursos Fiscais (CARF) que rechaçam a existência de múltiplas entidades no lucro presumido quando há compartilhamento de estrutura física, reclassificando-as, na verdade, como meros "setores" de uma única empresa no lucro real.</w:t>
      </w:r>
    </w:p>
    <w:p w14:paraId="31F89EAC" w14:textId="77777777" w:rsidR="004A3E09" w:rsidRPr="004A3E09" w:rsidRDefault="004A3E09" w:rsidP="00534A37">
      <w:pPr>
        <w:jc w:val="both"/>
      </w:pPr>
      <w:r w:rsidRPr="004A3E09">
        <w:t>Por conseguinte, para assegurar a robustez do planejamento fiscal, é imperativo observar os seguintes pilares:</w:t>
      </w:r>
    </w:p>
    <w:p w14:paraId="29EBFD42" w14:textId="77777777" w:rsidR="004A3E09" w:rsidRPr="004A3E09" w:rsidRDefault="004A3E09" w:rsidP="00534A37">
      <w:pPr>
        <w:numPr>
          <w:ilvl w:val="0"/>
          <w:numId w:val="2"/>
        </w:numPr>
        <w:jc w:val="both"/>
      </w:pPr>
      <w:r w:rsidRPr="004A3E09">
        <w:t>Contratos solidamente formulados e detalhados;</w:t>
      </w:r>
    </w:p>
    <w:p w14:paraId="5D5F9F79" w14:textId="77777777" w:rsidR="004A3E09" w:rsidRPr="004A3E09" w:rsidRDefault="004A3E09" w:rsidP="00534A37">
      <w:pPr>
        <w:numPr>
          <w:ilvl w:val="0"/>
          <w:numId w:val="2"/>
        </w:numPr>
        <w:jc w:val="both"/>
      </w:pPr>
      <w:r w:rsidRPr="004A3E09">
        <w:t>A substância econômica intrínseca às operações;</w:t>
      </w:r>
    </w:p>
    <w:p w14:paraId="3875BE46" w14:textId="77777777" w:rsidR="004A3E09" w:rsidRPr="004A3E09" w:rsidRDefault="004A3E09" w:rsidP="00534A37">
      <w:pPr>
        <w:numPr>
          <w:ilvl w:val="0"/>
          <w:numId w:val="2"/>
        </w:numPr>
        <w:jc w:val="both"/>
      </w:pPr>
      <w:r w:rsidRPr="004A3E09">
        <w:t>A segregação efetiva de ativos, pessoal e procedimentos;</w:t>
      </w:r>
    </w:p>
    <w:p w14:paraId="18114AB0" w14:textId="77777777" w:rsidR="004A3E09" w:rsidRPr="004A3E09" w:rsidRDefault="004A3E09" w:rsidP="00534A37">
      <w:pPr>
        <w:numPr>
          <w:ilvl w:val="0"/>
          <w:numId w:val="2"/>
        </w:numPr>
        <w:jc w:val="both"/>
      </w:pPr>
      <w:r w:rsidRPr="004A3E09">
        <w:t>Registros contábeis e fiscais individualizados e claros;</w:t>
      </w:r>
    </w:p>
    <w:p w14:paraId="6A6B11CF" w14:textId="77777777" w:rsidR="004A3E09" w:rsidRPr="004A3E09" w:rsidRDefault="004A3E09" w:rsidP="00534A37">
      <w:pPr>
        <w:numPr>
          <w:ilvl w:val="0"/>
          <w:numId w:val="2"/>
        </w:numPr>
        <w:jc w:val="both"/>
      </w:pPr>
      <w:r w:rsidRPr="004A3E09">
        <w:lastRenderedPageBreak/>
        <w:t>A perfeita sintonia entre a forma jurídica adotada e a realidade prática dos negócios.</w:t>
      </w:r>
    </w:p>
    <w:p w14:paraId="2897242B" w14:textId="77777777" w:rsidR="004A3E09" w:rsidRPr="004A3E09" w:rsidRDefault="004A3E09" w:rsidP="00534A37">
      <w:pPr>
        <w:jc w:val="both"/>
      </w:pPr>
      <w:r w:rsidRPr="004A3E09">
        <w:t>O emprego inadequado da separação de atividades pode culminar na desconsideração das estruturas societárias e em autuações fiscais fundamentadas em simulação ou abuso de forma. O risco se acentua na ausência de documentação comprobatória da operação ou quando a empresa não evidencia uma separação efetiva entre suas atividades. Todavia, a recente postura do CARF abre espaço para contestar eventuais autuações alicerçadas unicamente na alegação de falta de propósito negocial.</w:t>
      </w:r>
    </w:p>
    <w:p w14:paraId="495343A9" w14:textId="77777777" w:rsidR="004A3E09" w:rsidRPr="004A3E09" w:rsidRDefault="004A3E09" w:rsidP="00534A37">
      <w:pPr>
        <w:jc w:val="both"/>
      </w:pPr>
      <w:r w:rsidRPr="004A3E09">
        <w:t>As deliberações do CARF e o posicionamento da Receita Federal reiteram que o planejamento tributário mediante a segregação de atividades é legítimo e seguro, desde que amparado por substância econômica, documentação idônea e boa-fé. Em contrapartida, arranjos puramente artificiais permanecem sob elevado risco de fiscalização, mas a mera invocação da ausência de propósito negocial pela fiscalização pode não ser mais suficiente para sustentar a autuação.</w:t>
      </w:r>
    </w:p>
    <w:p w14:paraId="307CD8DE" w14:textId="2622C278" w:rsidR="00F21E4E" w:rsidRDefault="00534A37" w:rsidP="00534A37">
      <w:pPr>
        <w:jc w:val="both"/>
      </w:pPr>
      <w:r w:rsidRPr="00534A37">
        <w:t xml:space="preserve">O </w:t>
      </w:r>
      <w:proofErr w:type="spellStart"/>
      <w:r w:rsidRPr="00534A37">
        <w:t>Salha</w:t>
      </w:r>
      <w:proofErr w:type="spellEnd"/>
      <w:r w:rsidRPr="00534A37">
        <w:t>, Escórcio e Mendes Advogados (SEMA) acompanha de perto</w:t>
      </w:r>
      <w:r>
        <w:t xml:space="preserve"> esses temas que impactam diretamente o planejamento tributário</w:t>
      </w:r>
      <w:r w:rsidRPr="00534A37">
        <w:t>, reafirmando seu compromisso com a proteção patrimonial e a eficiência jurídica dos seus clientes.</w:t>
      </w:r>
    </w:p>
    <w:sectPr w:rsidR="00F21E4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CF445F"/>
    <w:multiLevelType w:val="multilevel"/>
    <w:tmpl w:val="41D02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9C47B4F"/>
    <w:multiLevelType w:val="multilevel"/>
    <w:tmpl w:val="A9441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34138105">
    <w:abstractNumId w:val="1"/>
  </w:num>
  <w:num w:numId="2" w16cid:durableId="282646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3E09"/>
    <w:rsid w:val="00231748"/>
    <w:rsid w:val="004A3E09"/>
    <w:rsid w:val="004E509F"/>
    <w:rsid w:val="00534A37"/>
    <w:rsid w:val="007D4092"/>
    <w:rsid w:val="00876DD8"/>
    <w:rsid w:val="008F358E"/>
    <w:rsid w:val="00E76780"/>
    <w:rsid w:val="00F21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068702"/>
  <w15:chartTrackingRefBased/>
  <w15:docId w15:val="{134F1DD0-A6ED-4508-8862-A006D8297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4A3E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A3E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A3E0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A3E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A3E0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A3E0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A3E0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A3E0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A3E0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A3E0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A3E0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A3E0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A3E09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A3E09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A3E09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A3E09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A3E09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A3E0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4A3E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4A3E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4A3E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4A3E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A3E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4A3E09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4A3E09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4A3E09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A3E0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4A3E09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4A3E0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693</Words>
  <Characters>3743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Abel Escórcio</dc:creator>
  <cp:keywords/>
  <dc:description/>
  <cp:lastModifiedBy>Abel Escórcio</cp:lastModifiedBy>
  <cp:revision>1</cp:revision>
  <dcterms:created xsi:type="dcterms:W3CDTF">2025-12-09T21:41:00Z</dcterms:created>
  <dcterms:modified xsi:type="dcterms:W3CDTF">2025-12-09T22:07:00Z</dcterms:modified>
</cp:coreProperties>
</file>