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5ED2E" w14:textId="77777777" w:rsidR="006A5B3B" w:rsidRDefault="006A5B3B" w:rsidP="00515594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b/>
          <w:bCs/>
          <w:sz w:val="24"/>
          <w:szCs w:val="24"/>
        </w:rPr>
      </w:pPr>
      <w:r w:rsidRPr="00416306">
        <w:rPr>
          <w:b/>
          <w:bCs/>
          <w:sz w:val="24"/>
          <w:szCs w:val="24"/>
        </w:rPr>
        <w:t>O RET e reforma tributária: como ficará a tributação das incorporações?</w:t>
      </w:r>
    </w:p>
    <w:p w14:paraId="0FB8B77C" w14:textId="77777777" w:rsidR="006A5B3B" w:rsidRPr="00416306" w:rsidRDefault="006A5B3B" w:rsidP="00515594">
      <w:pPr>
        <w:pStyle w:val="PargrafodaLista"/>
        <w:spacing w:after="0" w:line="276" w:lineRule="auto"/>
        <w:jc w:val="both"/>
        <w:rPr>
          <w:b/>
          <w:bCs/>
          <w:sz w:val="24"/>
          <w:szCs w:val="24"/>
        </w:rPr>
      </w:pPr>
    </w:p>
    <w:p w14:paraId="3C63C53F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A recente reforma tributária aprovada no Brasil trará mudanças significativas na forma como empresas e cidadãos lidam com os impostos, impactando fortemente o mercado imobiliário, responsável por uma movimentação financeira bilionária e por gerar milhões de empregos.</w:t>
      </w:r>
    </w:p>
    <w:p w14:paraId="5A92DA60" w14:textId="77777777" w:rsidR="006A5B3B" w:rsidRDefault="006A5B3B" w:rsidP="00515594">
      <w:pPr>
        <w:spacing w:after="0" w:line="276" w:lineRule="auto"/>
        <w:ind w:firstLine="708"/>
        <w:jc w:val="both"/>
      </w:pPr>
      <w:r w:rsidRPr="00416306">
        <w:t>Um dos componentes mais sensíveis dessa reforma é o Regime Especial de Tributação da Incorporação Imobiliária (RET). Criado pela Lei nº 10.931, de 2 de agosto de 2004, o RET foi elaborado para simplificar a vida das construtoras e incorporadoras, permitindo que todos os tributos relacionados a um empreendimento sejam pagos de maneira unificada. Através deste regime, as empresas podem aplicar uma alíquota fixa de 4% sobre a receita mensal, promovendo uma previsibilidade que facilita o planejamento de obras e investimentos.</w:t>
      </w:r>
    </w:p>
    <w:p w14:paraId="4ED08292" w14:textId="77777777" w:rsidR="006A5B3B" w:rsidRPr="00416306" w:rsidRDefault="006A5B3B" w:rsidP="00515594">
      <w:pPr>
        <w:spacing w:after="0" w:line="276" w:lineRule="auto"/>
        <w:ind w:firstLine="708"/>
        <w:jc w:val="both"/>
      </w:pPr>
    </w:p>
    <w:p w14:paraId="302DF1E2" w14:textId="77777777" w:rsidR="006A5B3B" w:rsidRDefault="006A5B3B" w:rsidP="00515594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b/>
          <w:bCs/>
          <w:sz w:val="24"/>
          <w:szCs w:val="24"/>
        </w:rPr>
      </w:pPr>
      <w:r w:rsidRPr="00416306">
        <w:rPr>
          <w:b/>
          <w:bCs/>
          <w:sz w:val="24"/>
          <w:szCs w:val="24"/>
        </w:rPr>
        <w:t>O que é o RET?</w:t>
      </w:r>
    </w:p>
    <w:p w14:paraId="6DA53295" w14:textId="77777777" w:rsidR="006A5B3B" w:rsidRPr="00416306" w:rsidRDefault="006A5B3B" w:rsidP="00515594">
      <w:pPr>
        <w:pStyle w:val="PargrafodaLista"/>
        <w:spacing w:after="0" w:line="276" w:lineRule="auto"/>
        <w:jc w:val="both"/>
        <w:rPr>
          <w:b/>
          <w:bCs/>
          <w:sz w:val="24"/>
          <w:szCs w:val="24"/>
        </w:rPr>
      </w:pPr>
    </w:p>
    <w:p w14:paraId="759262E8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 xml:space="preserve">O artigo 4º da Lei 10.931/2004, que institui o RET, permite que as incorporadoras optem pelo recolhimento unificado de tributos, incluindo o Imposto de Renda da Pessoa Jurídica (IRPJ), a Contribuição Social sobre o Lucro Líquido (CSLL), o PIS/Pasep e a </w:t>
      </w:r>
      <w:proofErr w:type="spellStart"/>
      <w:r w:rsidRPr="00416306">
        <w:t>Cofins</w:t>
      </w:r>
      <w:proofErr w:type="spellEnd"/>
      <w:r w:rsidRPr="00416306">
        <w:t>. Com isso, as incorporadoras não precisam calcular cada tributo separadamente, mas sim aplicar a alíquota única sobre a receita mensal de vendas ou prestações vinculadas ao empreendimento.</w:t>
      </w:r>
    </w:p>
    <w:p w14:paraId="0BE943F6" w14:textId="77777777" w:rsidR="006A5B3B" w:rsidRDefault="006A5B3B" w:rsidP="00515594">
      <w:pPr>
        <w:spacing w:after="0" w:line="276" w:lineRule="auto"/>
        <w:ind w:firstLine="708"/>
        <w:jc w:val="both"/>
      </w:pPr>
      <w:r w:rsidRPr="00416306">
        <w:t>Para empreendimentos do Programa Minha Casa, Minha Vida, a legislação ainda oferece uma alíquota reduzida a 1%, estimulando a produção de habitação popular e ampliando o acesso à moradia.</w:t>
      </w:r>
    </w:p>
    <w:p w14:paraId="0EE0FA94" w14:textId="77777777" w:rsidR="006A5B3B" w:rsidRPr="00416306" w:rsidRDefault="006A5B3B" w:rsidP="00515594">
      <w:pPr>
        <w:spacing w:after="0" w:line="276" w:lineRule="auto"/>
        <w:jc w:val="both"/>
      </w:pPr>
    </w:p>
    <w:p w14:paraId="67F9BACF" w14:textId="77777777" w:rsidR="006A5B3B" w:rsidRDefault="006A5B3B" w:rsidP="00515594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b/>
          <w:bCs/>
          <w:sz w:val="24"/>
          <w:szCs w:val="24"/>
        </w:rPr>
      </w:pPr>
      <w:r w:rsidRPr="00416306">
        <w:rPr>
          <w:b/>
          <w:bCs/>
          <w:sz w:val="24"/>
          <w:szCs w:val="24"/>
        </w:rPr>
        <w:t>Mudanças com a Reforma Tributária</w:t>
      </w:r>
    </w:p>
    <w:p w14:paraId="72807621" w14:textId="77777777" w:rsidR="006A5B3B" w:rsidRPr="00416306" w:rsidRDefault="006A5B3B" w:rsidP="00515594">
      <w:pPr>
        <w:pStyle w:val="PargrafodaLista"/>
        <w:spacing w:after="0" w:line="276" w:lineRule="auto"/>
        <w:jc w:val="both"/>
        <w:rPr>
          <w:b/>
          <w:bCs/>
          <w:sz w:val="24"/>
          <w:szCs w:val="24"/>
        </w:rPr>
      </w:pPr>
    </w:p>
    <w:p w14:paraId="4540D583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 xml:space="preserve">Com a entrada em vigor da Lei Complementar nº 214, de 2025, o design do RET será significativamente alterado. A alíquota única de 4% ou de 1% sobre a receita atual não será mantida. Essa reforma introduz o Imposto sobre Bens e Serviços (IBS) e a Contribuição sobre Bens e Serviços (CBS), substituindo PIS e </w:t>
      </w:r>
      <w:proofErr w:type="spellStart"/>
      <w:r w:rsidRPr="00416306">
        <w:t>Cofins</w:t>
      </w:r>
      <w:proofErr w:type="spellEnd"/>
      <w:r w:rsidRPr="00416306">
        <w:t>. A tributação da incorporação imobiliária passará a seguir um sistema de IVA dual (IBS e CBS).</w:t>
      </w:r>
    </w:p>
    <w:p w14:paraId="634BD070" w14:textId="77777777" w:rsidR="006A5B3B" w:rsidRDefault="006A5B3B" w:rsidP="00515594">
      <w:pPr>
        <w:spacing w:after="0" w:line="276" w:lineRule="auto"/>
        <w:ind w:firstLine="708"/>
        <w:jc w:val="both"/>
      </w:pPr>
      <w:r w:rsidRPr="00416306">
        <w:t>Isso significa que, além do IBS e da CBS, o setor continuará a estar sujeito à tributação sobre a renda (IRPJ e CSLL), porém de forma separada. Com a reforma, a atividade imobiliária terá que se submeter tanto ao IVA dual quanto ao IRPJ e à CSLL.</w:t>
      </w:r>
    </w:p>
    <w:p w14:paraId="6E884E53" w14:textId="77777777" w:rsidR="006A5B3B" w:rsidRPr="00416306" w:rsidRDefault="006A5B3B" w:rsidP="00515594">
      <w:pPr>
        <w:spacing w:after="0" w:line="276" w:lineRule="auto"/>
        <w:jc w:val="both"/>
      </w:pPr>
    </w:p>
    <w:p w14:paraId="7E31A6BB" w14:textId="77777777" w:rsidR="006A5B3B" w:rsidRDefault="006A5B3B" w:rsidP="00515594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b/>
          <w:bCs/>
          <w:sz w:val="24"/>
          <w:szCs w:val="24"/>
        </w:rPr>
      </w:pPr>
      <w:r w:rsidRPr="00416306">
        <w:rPr>
          <w:b/>
          <w:bCs/>
          <w:sz w:val="24"/>
          <w:szCs w:val="24"/>
        </w:rPr>
        <w:t>Alíquotas e Crédito</w:t>
      </w:r>
    </w:p>
    <w:p w14:paraId="51D65961" w14:textId="77777777" w:rsidR="006A5B3B" w:rsidRPr="00416306" w:rsidRDefault="006A5B3B" w:rsidP="00515594">
      <w:pPr>
        <w:pStyle w:val="PargrafodaLista"/>
        <w:spacing w:after="0" w:line="276" w:lineRule="auto"/>
        <w:jc w:val="both"/>
        <w:rPr>
          <w:b/>
          <w:bCs/>
          <w:sz w:val="24"/>
          <w:szCs w:val="24"/>
        </w:rPr>
      </w:pPr>
    </w:p>
    <w:p w14:paraId="272FCB69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A alíquota de referência do IVA Dual deve girar em torno de 28%. Entretanto, para o setor de imóveis, haverá uma redução de 50% sobre essa alíquota, resultando em uma alíquota efetiva de aproximadamente 14% sobre as vendas de imóveis novos. É importante ressaltar que o novo sistema tributário permite o creditamento do tributo pago pela incorporadora ao adquirir insumos ou contratar serviços, o que implica que a carga tributária efetiva não será simplesmente 14% sobre as vendas.</w:t>
      </w:r>
    </w:p>
    <w:p w14:paraId="6F9B4792" w14:textId="77777777" w:rsidR="006A5B3B" w:rsidRDefault="006A5B3B" w:rsidP="00515594">
      <w:pPr>
        <w:spacing w:after="0" w:line="276" w:lineRule="auto"/>
        <w:ind w:firstLine="708"/>
        <w:jc w:val="both"/>
      </w:pPr>
      <w:r w:rsidRPr="00416306">
        <w:lastRenderedPageBreak/>
        <w:t>Ademais, a legislação prevê redutores de base de cálculo, como o redutor de ajuste e o redutor social, que podem impactar ainda mais a carga tributária das incorporadoras.</w:t>
      </w:r>
    </w:p>
    <w:p w14:paraId="3315905F" w14:textId="77777777" w:rsidR="006A5B3B" w:rsidRPr="00416306" w:rsidRDefault="006A5B3B" w:rsidP="00515594">
      <w:pPr>
        <w:spacing w:after="0" w:line="276" w:lineRule="auto"/>
        <w:ind w:firstLine="708"/>
        <w:jc w:val="both"/>
      </w:pPr>
    </w:p>
    <w:p w14:paraId="5D504861" w14:textId="77777777" w:rsidR="006A5B3B" w:rsidRDefault="006A5B3B" w:rsidP="00515594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b/>
          <w:bCs/>
          <w:sz w:val="24"/>
          <w:szCs w:val="24"/>
        </w:rPr>
      </w:pPr>
      <w:r w:rsidRPr="00416306">
        <w:rPr>
          <w:b/>
          <w:bCs/>
          <w:sz w:val="24"/>
          <w:szCs w:val="24"/>
        </w:rPr>
        <w:t>Regras de Transição</w:t>
      </w:r>
    </w:p>
    <w:p w14:paraId="6BF59018" w14:textId="77777777" w:rsidR="006A5B3B" w:rsidRPr="00416306" w:rsidRDefault="006A5B3B" w:rsidP="00515594">
      <w:pPr>
        <w:pStyle w:val="PargrafodaLista"/>
        <w:spacing w:after="0" w:line="276" w:lineRule="auto"/>
        <w:jc w:val="both"/>
        <w:rPr>
          <w:b/>
          <w:bCs/>
          <w:sz w:val="24"/>
          <w:szCs w:val="24"/>
        </w:rPr>
      </w:pPr>
    </w:p>
    <w:p w14:paraId="46A5E746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O artigo 485 da Lei Complementar nº 214 detalha as regras de transição para os empreendimentos iniciados antes de 1º de janeiro de 2029 e que estão submetidos ao patrimônio de afetação. Durante a transição, esses empreendimentos poderão continuar a recolher tributos nas condições atuais do RET. Isso significa que a soma do IRPJ, da CSLL, da CBS e do IBS deve ficar limitada ao percentual de 1% ou 4% da receita mensal, dependendo do enquadramento do projeto.</w:t>
      </w:r>
    </w:p>
    <w:p w14:paraId="65A63A53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Assim, um empreendimento que hoje recolhe 4% manterá essa alíquota durante todo o período de transição, enquanto os empreendimentos habitacionais de interesse social continuarão com a alíquota reduzida de 1%. No entanto, é essencial que as incorporadoras que optarem por esse regime transitório estejam cientes de que não poderão apropriar créditos de IBS e CBS relacionados às aquisições de bens e serviços.</w:t>
      </w:r>
    </w:p>
    <w:p w14:paraId="35187073" w14:textId="77777777" w:rsidR="006A5B3B" w:rsidRDefault="006A5B3B" w:rsidP="00515594">
      <w:pPr>
        <w:spacing w:after="0" w:line="276" w:lineRule="auto"/>
        <w:ind w:firstLine="708"/>
        <w:jc w:val="both"/>
      </w:pPr>
      <w:r w:rsidRPr="00416306">
        <w:t>Além disso, os créditos de IBS e CBS que forem apropriados em relação a custos e despesas indiretas deverão ser estornados, evitando a utilização de créditos vinculados a operações sujeitas ao regime especial.</w:t>
      </w:r>
    </w:p>
    <w:p w14:paraId="059EADA5" w14:textId="77777777" w:rsidR="006A5B3B" w:rsidRPr="00416306" w:rsidRDefault="006A5B3B" w:rsidP="00515594">
      <w:pPr>
        <w:spacing w:after="0" w:line="276" w:lineRule="auto"/>
        <w:ind w:firstLine="708"/>
        <w:jc w:val="both"/>
      </w:pPr>
    </w:p>
    <w:p w14:paraId="33783975" w14:textId="77777777" w:rsidR="006A5B3B" w:rsidRDefault="006A5B3B" w:rsidP="00515594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b/>
          <w:bCs/>
          <w:sz w:val="24"/>
          <w:szCs w:val="24"/>
        </w:rPr>
      </w:pPr>
      <w:r w:rsidRPr="00416306">
        <w:rPr>
          <w:b/>
          <w:bCs/>
          <w:sz w:val="24"/>
          <w:szCs w:val="24"/>
        </w:rPr>
        <w:t>Conclusão</w:t>
      </w:r>
    </w:p>
    <w:p w14:paraId="2640FEEB" w14:textId="77777777" w:rsidR="006A5B3B" w:rsidRPr="00416306" w:rsidRDefault="006A5B3B" w:rsidP="00515594">
      <w:pPr>
        <w:pStyle w:val="PargrafodaLista"/>
        <w:spacing w:after="0" w:line="276" w:lineRule="auto"/>
        <w:jc w:val="both"/>
        <w:rPr>
          <w:b/>
          <w:bCs/>
          <w:sz w:val="24"/>
          <w:szCs w:val="24"/>
        </w:rPr>
      </w:pPr>
    </w:p>
    <w:p w14:paraId="268046CD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As mudanças trazidas pela reforma tributária no que se refere ao Regime Especial de Tributação da Incorporação Imobiliária (RET) são complexas e exigem planejamento cuidadoso por parte das incorporadoras. Embora o RET não tenha sido extinto, sua adaptação ao novo sistema tributário representa um desafio tanto para as empresas quanto para os profissionais do setor.</w:t>
      </w:r>
    </w:p>
    <w:p w14:paraId="2229009D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As incorporadoras precisarão entender como navegar entre os dois sistemas de tributação, onde convivem as novas alíquotas do IBS e CBS com a tributação sobre a renda, para otimizar sua carga tributária e garantir a conformidade fiscal. O regime de transição oferece uma oportunidade para as empresas se ajustarem gradualmente às novas regras, mas também impõe limitações quanto ao aproveitamento de créditos fiscais.</w:t>
      </w:r>
    </w:p>
    <w:p w14:paraId="1A094E38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>É imperativo que as empresas do setor imobiliário se mantenham bem informadas sobre as diretrizes da nova legislação e as implicações para suas operações. Um planejamento tributário eficaz será fundamental não apenas para minimizar a carga tributária, mas também para garantir que as incorporadoras possam continuar a desenvolver projetos com segurança e eficiência em um ambiente de negócios em transformação.</w:t>
      </w:r>
    </w:p>
    <w:p w14:paraId="720A833F" w14:textId="77777777" w:rsidR="006A5B3B" w:rsidRDefault="006A5B3B" w:rsidP="00515594">
      <w:pPr>
        <w:spacing w:after="0" w:line="276" w:lineRule="auto"/>
        <w:ind w:firstLine="708"/>
        <w:jc w:val="both"/>
      </w:pPr>
      <w:r w:rsidRPr="00416306">
        <w:t>Portanto, o acompanhamento contínuo das mudanças e uma abordagem proativa em relação ao cumprimento das novas regras são essenciais para preservar a competitividade e a viabilidade financeira das incorporações no Brasil pós-reforma tributária.</w:t>
      </w:r>
    </w:p>
    <w:p w14:paraId="1859FDFA" w14:textId="77777777" w:rsidR="006A5B3B" w:rsidRPr="00416306" w:rsidRDefault="006A5B3B" w:rsidP="00515594">
      <w:pPr>
        <w:spacing w:after="0" w:line="276" w:lineRule="auto"/>
        <w:ind w:firstLine="708"/>
        <w:jc w:val="both"/>
      </w:pPr>
      <w:r w:rsidRPr="00416306">
        <w:t xml:space="preserve">Nosso escritório permanece à disposição para prestar os esclarecimentos necessários, analisar casos individuais e auxiliar </w:t>
      </w:r>
      <w:r>
        <w:t>as empresas nesse momento de planejamento e transição.</w:t>
      </w:r>
      <w:r w:rsidRPr="00416306">
        <w:rPr>
          <w:vanish/>
        </w:rPr>
        <w:t>Parte superior do formulário</w:t>
      </w:r>
    </w:p>
    <w:p w14:paraId="4F711D7C" w14:textId="77777777" w:rsidR="006A5B3B" w:rsidRPr="00416306" w:rsidRDefault="006A5B3B" w:rsidP="00515594">
      <w:pPr>
        <w:spacing w:after="0" w:line="276" w:lineRule="auto"/>
        <w:jc w:val="both"/>
      </w:pPr>
    </w:p>
    <w:p w14:paraId="41850AB1" w14:textId="77777777" w:rsidR="006A5B3B" w:rsidRPr="00416306" w:rsidRDefault="006A5B3B" w:rsidP="00515594">
      <w:pPr>
        <w:spacing w:after="0" w:line="276" w:lineRule="auto"/>
        <w:jc w:val="both"/>
      </w:pPr>
    </w:p>
    <w:p w14:paraId="27F810AD" w14:textId="77777777" w:rsidR="006A5B3B" w:rsidRPr="00416306" w:rsidRDefault="006A5B3B" w:rsidP="00515594">
      <w:pPr>
        <w:spacing w:after="0" w:line="276" w:lineRule="auto"/>
        <w:jc w:val="both"/>
      </w:pPr>
    </w:p>
    <w:p w14:paraId="3DBA8E3A" w14:textId="3CEE5B5A" w:rsidR="00D61477" w:rsidRDefault="00E6796C" w:rsidP="005155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61477">
      <w:headerReference w:type="default" r:id="rId8"/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DDA19" w14:textId="77777777" w:rsidR="004C700E" w:rsidRDefault="004C700E">
      <w:pPr>
        <w:spacing w:line="240" w:lineRule="auto"/>
      </w:pPr>
      <w:r>
        <w:separator/>
      </w:r>
    </w:p>
  </w:endnote>
  <w:endnote w:type="continuationSeparator" w:id="0">
    <w:p w14:paraId="48230ED2" w14:textId="77777777" w:rsidR="004C700E" w:rsidRDefault="004C70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8C888" w14:textId="77777777" w:rsidR="004C700E" w:rsidRDefault="004C700E">
      <w:pPr>
        <w:spacing w:after="0"/>
      </w:pPr>
      <w:r>
        <w:separator/>
      </w:r>
    </w:p>
  </w:footnote>
  <w:footnote w:type="continuationSeparator" w:id="0">
    <w:p w14:paraId="106DBFC5" w14:textId="77777777" w:rsidR="004C700E" w:rsidRDefault="004C700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D9CCD" w14:textId="77777777" w:rsidR="00D61477" w:rsidRDefault="0000000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2AC56A5E" wp14:editId="728E6F5D">
          <wp:simplePos x="0" y="0"/>
          <wp:positionH relativeFrom="column">
            <wp:posOffset>-1051560</wp:posOffset>
          </wp:positionH>
          <wp:positionV relativeFrom="paragraph">
            <wp:posOffset>-527050</wp:posOffset>
          </wp:positionV>
          <wp:extent cx="7410450" cy="10511790"/>
          <wp:effectExtent l="0" t="0" r="0" b="3810"/>
          <wp:wrapNone/>
          <wp:docPr id="6" name="Imagem 6" descr="C:\Users\Florêncio\Downloads\Sem títul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C:\Users\Florêncio\Downloads\Sem títul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10450" cy="105120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2AD3E"/>
    <w:multiLevelType w:val="hybridMultilevel"/>
    <w:tmpl w:val="9E383606"/>
    <w:lvl w:ilvl="0" w:tplc="CF300E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22C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721A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E219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5A58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DC50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463F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5065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E8C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92A786"/>
    <w:multiLevelType w:val="hybridMultilevel"/>
    <w:tmpl w:val="1EA613A8"/>
    <w:lvl w:ilvl="0" w:tplc="877AE33C">
      <w:start w:val="1"/>
      <w:numFmt w:val="decimal"/>
      <w:lvlText w:val="%1."/>
      <w:lvlJc w:val="left"/>
      <w:pPr>
        <w:ind w:left="720" w:hanging="360"/>
      </w:pPr>
    </w:lvl>
    <w:lvl w:ilvl="1" w:tplc="0720C5F4">
      <w:start w:val="1"/>
      <w:numFmt w:val="lowerLetter"/>
      <w:lvlText w:val="%2."/>
      <w:lvlJc w:val="left"/>
      <w:pPr>
        <w:ind w:left="1440" w:hanging="360"/>
      </w:pPr>
    </w:lvl>
    <w:lvl w:ilvl="2" w:tplc="9716BEAE">
      <w:start w:val="1"/>
      <w:numFmt w:val="lowerRoman"/>
      <w:lvlText w:val="%3."/>
      <w:lvlJc w:val="right"/>
      <w:pPr>
        <w:ind w:left="2160" w:hanging="180"/>
      </w:pPr>
    </w:lvl>
    <w:lvl w:ilvl="3" w:tplc="CF9E6882">
      <w:start w:val="1"/>
      <w:numFmt w:val="decimal"/>
      <w:lvlText w:val="%4."/>
      <w:lvlJc w:val="left"/>
      <w:pPr>
        <w:ind w:left="2880" w:hanging="360"/>
      </w:pPr>
    </w:lvl>
    <w:lvl w:ilvl="4" w:tplc="CF64D120">
      <w:start w:val="1"/>
      <w:numFmt w:val="lowerLetter"/>
      <w:lvlText w:val="%5."/>
      <w:lvlJc w:val="left"/>
      <w:pPr>
        <w:ind w:left="3600" w:hanging="360"/>
      </w:pPr>
    </w:lvl>
    <w:lvl w:ilvl="5" w:tplc="7508366C">
      <w:start w:val="1"/>
      <w:numFmt w:val="lowerRoman"/>
      <w:lvlText w:val="%6."/>
      <w:lvlJc w:val="right"/>
      <w:pPr>
        <w:ind w:left="4320" w:hanging="180"/>
      </w:pPr>
    </w:lvl>
    <w:lvl w:ilvl="6" w:tplc="5E1E09D6">
      <w:start w:val="1"/>
      <w:numFmt w:val="decimal"/>
      <w:lvlText w:val="%7."/>
      <w:lvlJc w:val="left"/>
      <w:pPr>
        <w:ind w:left="5040" w:hanging="360"/>
      </w:pPr>
    </w:lvl>
    <w:lvl w:ilvl="7" w:tplc="95F2D99E">
      <w:start w:val="1"/>
      <w:numFmt w:val="lowerLetter"/>
      <w:lvlText w:val="%8."/>
      <w:lvlJc w:val="left"/>
      <w:pPr>
        <w:ind w:left="5760" w:hanging="360"/>
      </w:pPr>
    </w:lvl>
    <w:lvl w:ilvl="8" w:tplc="42342A2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E964AC"/>
    <w:multiLevelType w:val="hybridMultilevel"/>
    <w:tmpl w:val="E31A21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1794869">
    <w:abstractNumId w:val="0"/>
  </w:num>
  <w:num w:numId="2" w16cid:durableId="568616740">
    <w:abstractNumId w:val="1"/>
  </w:num>
  <w:num w:numId="3" w16cid:durableId="1050804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3620"/>
    <w:rsid w:val="000208F1"/>
    <w:rsid w:val="0002394B"/>
    <w:rsid w:val="000308C1"/>
    <w:rsid w:val="0005383B"/>
    <w:rsid w:val="00055F01"/>
    <w:rsid w:val="00057838"/>
    <w:rsid w:val="00060D0B"/>
    <w:rsid w:val="00070F66"/>
    <w:rsid w:val="000C718C"/>
    <w:rsid w:val="000F6D4D"/>
    <w:rsid w:val="0011362A"/>
    <w:rsid w:val="00123992"/>
    <w:rsid w:val="0015621F"/>
    <w:rsid w:val="00172A27"/>
    <w:rsid w:val="00173F97"/>
    <w:rsid w:val="001744C3"/>
    <w:rsid w:val="00176B95"/>
    <w:rsid w:val="00187213"/>
    <w:rsid w:val="001A1270"/>
    <w:rsid w:val="001A6BF0"/>
    <w:rsid w:val="001B00BD"/>
    <w:rsid w:val="001B48E5"/>
    <w:rsid w:val="001B5078"/>
    <w:rsid w:val="001D6E89"/>
    <w:rsid w:val="00201A2C"/>
    <w:rsid w:val="00203CE0"/>
    <w:rsid w:val="002145A1"/>
    <w:rsid w:val="0021666F"/>
    <w:rsid w:val="002606BD"/>
    <w:rsid w:val="00277D2F"/>
    <w:rsid w:val="00283342"/>
    <w:rsid w:val="0028447B"/>
    <w:rsid w:val="002848D7"/>
    <w:rsid w:val="002860BB"/>
    <w:rsid w:val="002876D8"/>
    <w:rsid w:val="00290A1A"/>
    <w:rsid w:val="00291BCF"/>
    <w:rsid w:val="002C772C"/>
    <w:rsid w:val="002E1EF9"/>
    <w:rsid w:val="002F1176"/>
    <w:rsid w:val="002F21C5"/>
    <w:rsid w:val="003273B0"/>
    <w:rsid w:val="00351575"/>
    <w:rsid w:val="003805FA"/>
    <w:rsid w:val="00381B4D"/>
    <w:rsid w:val="003A2389"/>
    <w:rsid w:val="003B0A78"/>
    <w:rsid w:val="003B0AF3"/>
    <w:rsid w:val="003B7DDC"/>
    <w:rsid w:val="003D08D5"/>
    <w:rsid w:val="003D7449"/>
    <w:rsid w:val="003E44FB"/>
    <w:rsid w:val="003F1800"/>
    <w:rsid w:val="003F5D90"/>
    <w:rsid w:val="003F5EE0"/>
    <w:rsid w:val="003F6A5B"/>
    <w:rsid w:val="00411F1F"/>
    <w:rsid w:val="00426937"/>
    <w:rsid w:val="00433C49"/>
    <w:rsid w:val="0044149F"/>
    <w:rsid w:val="004640CB"/>
    <w:rsid w:val="00464E96"/>
    <w:rsid w:val="00474AC5"/>
    <w:rsid w:val="004800C0"/>
    <w:rsid w:val="0048161F"/>
    <w:rsid w:val="004829F8"/>
    <w:rsid w:val="00490CB1"/>
    <w:rsid w:val="00492768"/>
    <w:rsid w:val="004A2D20"/>
    <w:rsid w:val="004A78A2"/>
    <w:rsid w:val="004C2C98"/>
    <w:rsid w:val="004C700E"/>
    <w:rsid w:val="004E2177"/>
    <w:rsid w:val="004E73FF"/>
    <w:rsid w:val="00515594"/>
    <w:rsid w:val="0052297D"/>
    <w:rsid w:val="005510E7"/>
    <w:rsid w:val="00577506"/>
    <w:rsid w:val="005A04E7"/>
    <w:rsid w:val="005A3A32"/>
    <w:rsid w:val="005B606E"/>
    <w:rsid w:val="005C6C84"/>
    <w:rsid w:val="005D5533"/>
    <w:rsid w:val="006540DF"/>
    <w:rsid w:val="00663FCA"/>
    <w:rsid w:val="00667193"/>
    <w:rsid w:val="00672927"/>
    <w:rsid w:val="00687C75"/>
    <w:rsid w:val="00693396"/>
    <w:rsid w:val="006935D8"/>
    <w:rsid w:val="006A541C"/>
    <w:rsid w:val="006A5B3B"/>
    <w:rsid w:val="006C3951"/>
    <w:rsid w:val="006C3F0D"/>
    <w:rsid w:val="006C4EA1"/>
    <w:rsid w:val="006C6783"/>
    <w:rsid w:val="006F4C17"/>
    <w:rsid w:val="00711275"/>
    <w:rsid w:val="007121DF"/>
    <w:rsid w:val="00750299"/>
    <w:rsid w:val="00767ADC"/>
    <w:rsid w:val="00775866"/>
    <w:rsid w:val="007866DF"/>
    <w:rsid w:val="007A6A4F"/>
    <w:rsid w:val="007B1651"/>
    <w:rsid w:val="0083129A"/>
    <w:rsid w:val="00834BE1"/>
    <w:rsid w:val="008410DB"/>
    <w:rsid w:val="0084196F"/>
    <w:rsid w:val="00845C3C"/>
    <w:rsid w:val="008609FF"/>
    <w:rsid w:val="0086105D"/>
    <w:rsid w:val="00876FDA"/>
    <w:rsid w:val="008B1D6A"/>
    <w:rsid w:val="008E6105"/>
    <w:rsid w:val="008F0437"/>
    <w:rsid w:val="009372ED"/>
    <w:rsid w:val="009514E3"/>
    <w:rsid w:val="00960124"/>
    <w:rsid w:val="00972B5D"/>
    <w:rsid w:val="009746BB"/>
    <w:rsid w:val="009852AD"/>
    <w:rsid w:val="00993873"/>
    <w:rsid w:val="00996FB2"/>
    <w:rsid w:val="009D1AB6"/>
    <w:rsid w:val="009D1DE5"/>
    <w:rsid w:val="009E65F5"/>
    <w:rsid w:val="00A02759"/>
    <w:rsid w:val="00A0738E"/>
    <w:rsid w:val="00A15280"/>
    <w:rsid w:val="00A315E3"/>
    <w:rsid w:val="00A94F69"/>
    <w:rsid w:val="00AB1125"/>
    <w:rsid w:val="00AD2E28"/>
    <w:rsid w:val="00AE4751"/>
    <w:rsid w:val="00AE4890"/>
    <w:rsid w:val="00B0639B"/>
    <w:rsid w:val="00B24136"/>
    <w:rsid w:val="00B864E1"/>
    <w:rsid w:val="00B934CB"/>
    <w:rsid w:val="00BA266C"/>
    <w:rsid w:val="00BB126F"/>
    <w:rsid w:val="00BC3ED4"/>
    <w:rsid w:val="00BC4FE2"/>
    <w:rsid w:val="00BD051B"/>
    <w:rsid w:val="00C43838"/>
    <w:rsid w:val="00C47258"/>
    <w:rsid w:val="00C529A4"/>
    <w:rsid w:val="00CA6549"/>
    <w:rsid w:val="00CB3B4C"/>
    <w:rsid w:val="00CD6961"/>
    <w:rsid w:val="00CE24A1"/>
    <w:rsid w:val="00D01B1B"/>
    <w:rsid w:val="00D45A94"/>
    <w:rsid w:val="00D53D46"/>
    <w:rsid w:val="00D6092B"/>
    <w:rsid w:val="00D61477"/>
    <w:rsid w:val="00D85DF9"/>
    <w:rsid w:val="00D90424"/>
    <w:rsid w:val="00D94931"/>
    <w:rsid w:val="00D96C95"/>
    <w:rsid w:val="00DB0C7E"/>
    <w:rsid w:val="00DB330C"/>
    <w:rsid w:val="00DB7807"/>
    <w:rsid w:val="00DC20C9"/>
    <w:rsid w:val="00DD08EA"/>
    <w:rsid w:val="00DD097E"/>
    <w:rsid w:val="00DE4285"/>
    <w:rsid w:val="00E11598"/>
    <w:rsid w:val="00E14F22"/>
    <w:rsid w:val="00E27FFB"/>
    <w:rsid w:val="00E60BB5"/>
    <w:rsid w:val="00E66A37"/>
    <w:rsid w:val="00E6796C"/>
    <w:rsid w:val="00E80278"/>
    <w:rsid w:val="00E837EB"/>
    <w:rsid w:val="00EA2965"/>
    <w:rsid w:val="00F124F6"/>
    <w:rsid w:val="00F4264A"/>
    <w:rsid w:val="00F4699E"/>
    <w:rsid w:val="00FA00B5"/>
    <w:rsid w:val="00FA1F07"/>
    <w:rsid w:val="00FA3075"/>
    <w:rsid w:val="00FB3962"/>
    <w:rsid w:val="00FC3670"/>
    <w:rsid w:val="00FC7DFE"/>
    <w:rsid w:val="00FE494E"/>
    <w:rsid w:val="012A3FE9"/>
    <w:rsid w:val="3E844C39"/>
    <w:rsid w:val="549A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65B6B"/>
  <w15:docId w15:val="{89A2A1D2-AD5F-4862-9D0F-B7C5DCE92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paragraph" w:styleId="Corpodetexto">
    <w:name w:val="Body Text"/>
    <w:basedOn w:val="Normal"/>
    <w:link w:val="Corpodetexto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Cs w:val="24"/>
      <w:lang w:val="en-US" w:eastAsia="zh-CN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Arial MT" w:eastAsia="Arial MT" w:hAnsi="Arial MT" w:cs="Arial MT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E6796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78E05-A165-4BD3-93DB-783B2A7C4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883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Agamenon</dc:creator>
  <cp:lastModifiedBy>Abel Escórcio</cp:lastModifiedBy>
  <cp:revision>3</cp:revision>
  <cp:lastPrinted>2025-08-11T20:39:00Z</cp:lastPrinted>
  <dcterms:created xsi:type="dcterms:W3CDTF">2025-11-24T19:38:00Z</dcterms:created>
  <dcterms:modified xsi:type="dcterms:W3CDTF">2025-11-24T19:38:00Z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2F99BDE0337B434B8CB8D8D4EAA25299_13</vt:lpwstr>
  </property>
</Properties>
</file>